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693F" w14:textId="1CAF1A9F" w:rsidR="006D0975" w:rsidRDefault="00D059E9" w:rsidP="00660655">
      <w:pPr>
        <w:pStyle w:val="Heading1"/>
      </w:pPr>
      <w:r>
        <w:rPr>
          <w:noProof/>
        </w:rPr>
        <w:drawing>
          <wp:anchor distT="0" distB="0" distL="114300" distR="114300" simplePos="0" relativeHeight="251659264" behindDoc="1" locked="0" layoutInCell="1" allowOverlap="1" wp14:anchorId="0B66EE95" wp14:editId="76942B48">
            <wp:simplePos x="0" y="0"/>
            <wp:positionH relativeFrom="column">
              <wp:posOffset>-76200</wp:posOffset>
            </wp:positionH>
            <wp:positionV relativeFrom="paragraph">
              <wp:posOffset>0</wp:posOffset>
            </wp:positionV>
            <wp:extent cx="1238250" cy="914400"/>
            <wp:effectExtent l="0" t="0" r="6350" b="0"/>
            <wp:wrapTight wrapText="bothSides">
              <wp:wrapPolygon edited="0">
                <wp:start x="0" y="0"/>
                <wp:lineTo x="0" y="21300"/>
                <wp:lineTo x="21489" y="21300"/>
                <wp:lineTo x="21489" y="0"/>
                <wp:lineTo x="0" y="0"/>
              </wp:wrapPolygon>
            </wp:wrapTight>
            <wp:docPr id="300498543"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498543" name="Picture 2"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2063673" wp14:editId="70108585">
            <wp:simplePos x="0" y="0"/>
            <wp:positionH relativeFrom="column">
              <wp:posOffset>5866765</wp:posOffset>
            </wp:positionH>
            <wp:positionV relativeFrom="paragraph">
              <wp:posOffset>63500</wp:posOffset>
            </wp:positionV>
            <wp:extent cx="914400" cy="914400"/>
            <wp:effectExtent l="0" t="0" r="0" b="0"/>
            <wp:wrapTight wrapText="bothSides">
              <wp:wrapPolygon edited="0">
                <wp:start x="0" y="0"/>
                <wp:lineTo x="0" y="21300"/>
                <wp:lineTo x="21300" y="21300"/>
                <wp:lineTo x="21300" y="0"/>
                <wp:lineTo x="0" y="0"/>
              </wp:wrapPolygon>
            </wp:wrapTight>
            <wp:docPr id="2132688313"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688313" name="Picture 1" descr="A green and whit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660655">
        <w:t>The Independent Living Advocate’s Toolkit for Mentoring Families of Children with Disabilities</w:t>
      </w:r>
    </w:p>
    <w:p w14:paraId="33FF1AB1" w14:textId="62F9525B" w:rsidR="00E76374" w:rsidRDefault="00E76374" w:rsidP="00E76374">
      <w:pPr>
        <w:pStyle w:val="Heading2"/>
      </w:pPr>
      <w:r>
        <w:t>Brief #</w:t>
      </w:r>
      <w:r w:rsidR="000B5C5F">
        <w:t>4</w:t>
      </w:r>
      <w:r w:rsidR="00CE7E45">
        <w:t xml:space="preserve">: </w:t>
      </w:r>
      <w:r w:rsidR="00700A92">
        <w:t>Overview</w:t>
      </w:r>
      <w:r w:rsidR="000B5C5F">
        <w:t xml:space="preserve"> of the Independent Living Movement</w:t>
      </w:r>
    </w:p>
    <w:p w14:paraId="74F28852" w14:textId="593530E2" w:rsidR="00532269" w:rsidRDefault="00F332DE" w:rsidP="000B5C5F">
      <w:pPr>
        <w:pStyle w:val="BodyText"/>
      </w:pPr>
      <w:r>
        <w:t>The first Center for Independent Living (CIL) was established in 1972 in Berkeley, California by Ed Roberts and other individuals with significant disabilities who were experiencing discrimination and exclusion. Independent Living as a federal program was</w:t>
      </w:r>
      <w:r w:rsidR="000B5C5F">
        <w:t xml:space="preserve"> created in law in 1978 as hub</w:t>
      </w:r>
      <w:r w:rsidR="007779DE">
        <w:t>s</w:t>
      </w:r>
      <w:r w:rsidR="000B5C5F">
        <w:t xml:space="preserve"> for people with disabilities to </w:t>
      </w:r>
      <w:r>
        <w:t xml:space="preserve">get </w:t>
      </w:r>
      <w:r w:rsidR="000B5C5F">
        <w:t>information, resources, skill</w:t>
      </w:r>
      <w:r w:rsidR="00111F43">
        <w:t>s</w:t>
      </w:r>
      <w:r w:rsidR="000B5C5F">
        <w:t xml:space="preserve">, and advocacy. </w:t>
      </w:r>
      <w:r w:rsidR="007779DE">
        <w:t>They are non-residential, cross-disability, and</w:t>
      </w:r>
      <w:r w:rsidR="000B5C5F">
        <w:t xml:space="preserve"> governed and operated primarily by people with disabilities. </w:t>
      </w:r>
      <w:r w:rsidR="00700A92">
        <w:t xml:space="preserve">CILs </w:t>
      </w:r>
      <w:r w:rsidR="00662167">
        <w:t xml:space="preserve">are concerned </w:t>
      </w:r>
      <w:r w:rsidR="000B5C5F">
        <w:t xml:space="preserve">with </w:t>
      </w:r>
      <w:r w:rsidR="006E5D27">
        <w:t xml:space="preserve">both </w:t>
      </w:r>
      <w:r w:rsidR="000B5C5F">
        <w:t xml:space="preserve">the </w:t>
      </w:r>
      <w:r w:rsidR="00700A92">
        <w:t xml:space="preserve">self-directed </w:t>
      </w:r>
      <w:r w:rsidR="000B5C5F">
        <w:t xml:space="preserve">goals of individual consumers </w:t>
      </w:r>
      <w:r w:rsidR="006E5D27">
        <w:t xml:space="preserve">and </w:t>
      </w:r>
      <w:r w:rsidR="000B5C5F">
        <w:t xml:space="preserve">with the accessibility and inclusiveness of </w:t>
      </w:r>
      <w:r w:rsidR="00472C4E">
        <w:t>communities</w:t>
      </w:r>
      <w:r w:rsidR="006E5D27">
        <w:t xml:space="preserve"> and institutions.</w:t>
      </w:r>
    </w:p>
    <w:p w14:paraId="39CE07BE" w14:textId="5C8AD412" w:rsidR="00063DA2" w:rsidRDefault="002826A2" w:rsidP="00250D70">
      <w:pPr>
        <w:pStyle w:val="BodyText"/>
      </w:pPr>
      <w:r>
        <w:t xml:space="preserve">Independent Living, as both a program and a philosophy, grew out of the disability rights movement which grew out of several social movements from the 1950s -1970s. Early leaders of the IL movement fought for the rights of people with disabilities to have equal opportunity to decide how to live, work, and take part in their communities As their advocacy spread nationwide, the message that people with disabilities have the right to make choices and to control the decisions in their lives started to take root. </w:t>
      </w:r>
      <w:r w:rsidR="00F332DE">
        <w:t>R</w:t>
      </w:r>
      <w:r w:rsidR="00063DA2">
        <w:t xml:space="preserve">esearcher </w:t>
      </w:r>
      <w:proofErr w:type="spellStart"/>
      <w:r w:rsidR="00063DA2">
        <w:t>Gerbon</w:t>
      </w:r>
      <w:proofErr w:type="spellEnd"/>
      <w:r w:rsidR="00063DA2">
        <w:t xml:space="preserve"> DeJong</w:t>
      </w:r>
      <w:r w:rsidR="006E5D27">
        <w:t xml:space="preserve"> </w:t>
      </w:r>
      <w:r w:rsidR="00F332DE">
        <w:t xml:space="preserve">compared </w:t>
      </w:r>
      <w:r w:rsidR="00063DA2">
        <w:t xml:space="preserve">the IL </w:t>
      </w:r>
      <w:r w:rsidR="00F332DE">
        <w:t>model</w:t>
      </w:r>
      <w:r w:rsidR="00063DA2">
        <w:t xml:space="preserve"> </w:t>
      </w:r>
      <w:r w:rsidR="00F332DE">
        <w:t xml:space="preserve">to </w:t>
      </w:r>
      <w:r w:rsidR="00063DA2">
        <w:t xml:space="preserve">the prevailing </w:t>
      </w:r>
      <w:r w:rsidR="00A114EA">
        <w:t xml:space="preserve">medical and </w:t>
      </w:r>
      <w:r w:rsidR="00063DA2">
        <w:t xml:space="preserve">rehabilitation </w:t>
      </w:r>
      <w:r w:rsidR="00F332DE">
        <w:t>model</w:t>
      </w:r>
      <w:r w:rsidR="00A114EA">
        <w:t xml:space="preserve"> in this </w:t>
      </w:r>
      <w:r w:rsidR="00111F43">
        <w:t>chart</w:t>
      </w:r>
      <w:r w:rsidR="00A114EA">
        <w:t xml:space="preserve"> (1979)</w:t>
      </w:r>
      <w:r w:rsidR="00111F43">
        <w:t xml:space="preserve"> </w:t>
      </w:r>
      <w:r w:rsidR="00063DA2">
        <w:t>(</w:t>
      </w:r>
      <w:r w:rsidR="004D3AF9">
        <w:t xml:space="preserve">expanded </w:t>
      </w:r>
      <w:r w:rsidR="00063DA2">
        <w:t xml:space="preserve">by </w:t>
      </w:r>
      <w:r w:rsidR="004D3AF9">
        <w:t xml:space="preserve">IL </w:t>
      </w:r>
      <w:r w:rsidR="00063DA2">
        <w:t>advocate</w:t>
      </w:r>
      <w:r w:rsidR="00620E41">
        <w:t>s</w:t>
      </w:r>
      <w:r w:rsidR="00063DA2">
        <w:t xml:space="preserve"> Maggie Shreve</w:t>
      </w:r>
      <w:r w:rsidR="00620E41">
        <w:t xml:space="preserve"> and June Isaacson Kailes (2002)</w:t>
      </w:r>
      <w:r w:rsidR="00063DA2">
        <w:t>)</w:t>
      </w:r>
      <w:r w:rsidR="004D3AF9">
        <w:rPr>
          <w:rStyle w:val="FootnoteReference"/>
        </w:rPr>
        <w:footnoteReference w:id="1"/>
      </w:r>
      <w:r w:rsidR="00063DA2">
        <w:t>:</w:t>
      </w:r>
    </w:p>
    <w:p w14:paraId="5C5787C1" w14:textId="77777777" w:rsidR="002826A2" w:rsidRDefault="002826A2" w:rsidP="002826A2">
      <w:pPr>
        <w:pStyle w:val="commentcontentpara"/>
        <w:spacing w:before="0" w:beforeAutospacing="0" w:after="0" w:afterAutospacing="0"/>
      </w:pPr>
    </w:p>
    <w:tbl>
      <w:tblPr>
        <w:tblStyle w:val="TableGrid"/>
        <w:tblW w:w="9810" w:type="dxa"/>
        <w:jc w:val="center"/>
        <w:tblLook w:val="04A0" w:firstRow="1" w:lastRow="0" w:firstColumn="1" w:lastColumn="0" w:noHBand="0" w:noVBand="1"/>
      </w:tblPr>
      <w:tblGrid>
        <w:gridCol w:w="2610"/>
        <w:gridCol w:w="3330"/>
        <w:gridCol w:w="3870"/>
      </w:tblGrid>
      <w:tr w:rsidR="00063DA2" w14:paraId="669AD51D" w14:textId="77777777" w:rsidTr="00250D70">
        <w:trPr>
          <w:jc w:val="center"/>
        </w:trPr>
        <w:tc>
          <w:tcPr>
            <w:tcW w:w="2610" w:type="dxa"/>
          </w:tcPr>
          <w:p w14:paraId="4ACC2644" w14:textId="77777777" w:rsidR="00063DA2" w:rsidRDefault="00063DA2" w:rsidP="000B5C5F">
            <w:pPr>
              <w:pStyle w:val="BodyText"/>
            </w:pPr>
          </w:p>
        </w:tc>
        <w:tc>
          <w:tcPr>
            <w:tcW w:w="3330" w:type="dxa"/>
          </w:tcPr>
          <w:p w14:paraId="14E4CEE1" w14:textId="36CA8855" w:rsidR="00063DA2" w:rsidRPr="00472C17" w:rsidRDefault="00063DA2" w:rsidP="00472C17">
            <w:pPr>
              <w:pStyle w:val="BodyText2"/>
              <w:rPr>
                <w:rStyle w:val="Strong"/>
              </w:rPr>
            </w:pPr>
            <w:r w:rsidRPr="00472C17">
              <w:rPr>
                <w:rStyle w:val="Strong"/>
              </w:rPr>
              <w:t>Medical Model &amp; Rehabilitation Paradigm</w:t>
            </w:r>
          </w:p>
        </w:tc>
        <w:tc>
          <w:tcPr>
            <w:tcW w:w="3870" w:type="dxa"/>
          </w:tcPr>
          <w:p w14:paraId="28E14EDA" w14:textId="23533C4C" w:rsidR="00063DA2" w:rsidRPr="00472C17" w:rsidRDefault="00063DA2" w:rsidP="00472C17">
            <w:pPr>
              <w:pStyle w:val="BodyText2"/>
              <w:rPr>
                <w:rStyle w:val="Strong"/>
              </w:rPr>
            </w:pPr>
            <w:r w:rsidRPr="00472C17">
              <w:rPr>
                <w:rStyle w:val="Strong"/>
              </w:rPr>
              <w:t>Independent Living Paradigm</w:t>
            </w:r>
          </w:p>
        </w:tc>
      </w:tr>
      <w:tr w:rsidR="00063DA2" w14:paraId="64DF49E5" w14:textId="77777777" w:rsidTr="00250D70">
        <w:trPr>
          <w:jc w:val="center"/>
        </w:trPr>
        <w:tc>
          <w:tcPr>
            <w:tcW w:w="2610" w:type="dxa"/>
          </w:tcPr>
          <w:p w14:paraId="5CEEA428" w14:textId="06C19D91" w:rsidR="00063DA2" w:rsidRPr="00472C17" w:rsidRDefault="00063DA2" w:rsidP="00472C17">
            <w:pPr>
              <w:pStyle w:val="BodyText2"/>
              <w:rPr>
                <w:rStyle w:val="Strong"/>
              </w:rPr>
            </w:pPr>
            <w:r w:rsidRPr="00472C17">
              <w:rPr>
                <w:rStyle w:val="Strong"/>
              </w:rPr>
              <w:t>Definition of the problem</w:t>
            </w:r>
          </w:p>
        </w:tc>
        <w:tc>
          <w:tcPr>
            <w:tcW w:w="3330" w:type="dxa"/>
          </w:tcPr>
          <w:p w14:paraId="4A1C7E94" w14:textId="0C49D9FD" w:rsidR="00063DA2" w:rsidRDefault="00063DA2" w:rsidP="006E5D27">
            <w:pPr>
              <w:pStyle w:val="BodyText2"/>
            </w:pPr>
            <w:r>
              <w:t>Physical or mental impairment. Lack of vocational skills (in the VR system)</w:t>
            </w:r>
            <w:r w:rsidR="004D3AF9">
              <w:t>; lack of abilities</w:t>
            </w:r>
          </w:p>
        </w:tc>
        <w:tc>
          <w:tcPr>
            <w:tcW w:w="3870" w:type="dxa"/>
          </w:tcPr>
          <w:p w14:paraId="4230CAC2" w14:textId="75E2405A" w:rsidR="00063DA2" w:rsidRDefault="00063DA2" w:rsidP="006E5D27">
            <w:pPr>
              <w:pStyle w:val="BodyText2"/>
            </w:pPr>
            <w:r>
              <w:t>Dependence upon professionals, family members, and others; hostile attitudes and environments</w:t>
            </w:r>
          </w:p>
        </w:tc>
      </w:tr>
      <w:tr w:rsidR="00063DA2" w14:paraId="56B43321" w14:textId="77777777" w:rsidTr="00250D70">
        <w:trPr>
          <w:jc w:val="center"/>
        </w:trPr>
        <w:tc>
          <w:tcPr>
            <w:tcW w:w="2610" w:type="dxa"/>
          </w:tcPr>
          <w:p w14:paraId="6522B2BA" w14:textId="4803A739" w:rsidR="00063DA2" w:rsidRPr="00472C17" w:rsidRDefault="00063DA2" w:rsidP="00472C17">
            <w:pPr>
              <w:pStyle w:val="BodyText2"/>
              <w:rPr>
                <w:rStyle w:val="Strong"/>
              </w:rPr>
            </w:pPr>
            <w:r w:rsidRPr="00472C17">
              <w:rPr>
                <w:rStyle w:val="Strong"/>
              </w:rPr>
              <w:t>Focus of the problem</w:t>
            </w:r>
          </w:p>
        </w:tc>
        <w:tc>
          <w:tcPr>
            <w:tcW w:w="3330" w:type="dxa"/>
          </w:tcPr>
          <w:p w14:paraId="7F2F6FEB" w14:textId="68FA0092" w:rsidR="00063DA2" w:rsidRDefault="00063DA2" w:rsidP="006E5D27">
            <w:pPr>
              <w:pStyle w:val="BodyText2"/>
            </w:pPr>
            <w:r>
              <w:t>In the individual (individual</w:t>
            </w:r>
            <w:r w:rsidR="004D3AF9">
              <w:t>s are sick &amp;</w:t>
            </w:r>
            <w:r>
              <w:t xml:space="preserve"> need to be “fixed</w:t>
            </w:r>
            <w:r w:rsidR="00472C17">
              <w:t>.”)</w:t>
            </w:r>
          </w:p>
        </w:tc>
        <w:tc>
          <w:tcPr>
            <w:tcW w:w="3870" w:type="dxa"/>
          </w:tcPr>
          <w:p w14:paraId="59E58F38" w14:textId="5410DEA0" w:rsidR="00063DA2" w:rsidRDefault="00472C17" w:rsidP="006E5D27">
            <w:pPr>
              <w:pStyle w:val="BodyText2"/>
            </w:pPr>
            <w:r>
              <w:t>In the environment; in the medical and/or rehabilitation process itself</w:t>
            </w:r>
          </w:p>
        </w:tc>
      </w:tr>
      <w:tr w:rsidR="00063DA2" w14:paraId="3AF03EAA" w14:textId="77777777" w:rsidTr="00250D70">
        <w:trPr>
          <w:jc w:val="center"/>
        </w:trPr>
        <w:tc>
          <w:tcPr>
            <w:tcW w:w="2610" w:type="dxa"/>
          </w:tcPr>
          <w:p w14:paraId="5A1A6662" w14:textId="7CB05BAE" w:rsidR="00063DA2" w:rsidRPr="00472C17" w:rsidRDefault="00063DA2" w:rsidP="00472C17">
            <w:pPr>
              <w:pStyle w:val="BodyText2"/>
              <w:rPr>
                <w:rStyle w:val="Strong"/>
              </w:rPr>
            </w:pPr>
            <w:r w:rsidRPr="00472C17">
              <w:rPr>
                <w:rStyle w:val="Strong"/>
              </w:rPr>
              <w:t>Solution to the problem</w:t>
            </w:r>
          </w:p>
        </w:tc>
        <w:tc>
          <w:tcPr>
            <w:tcW w:w="3330" w:type="dxa"/>
          </w:tcPr>
          <w:p w14:paraId="41D69EEF" w14:textId="38BB58A8" w:rsidR="00063DA2" w:rsidRDefault="00472C17" w:rsidP="006E5D27">
            <w:pPr>
              <w:pStyle w:val="BodyText2"/>
            </w:pPr>
            <w:r>
              <w:t>Professional intervention; treatment</w:t>
            </w:r>
          </w:p>
        </w:tc>
        <w:tc>
          <w:tcPr>
            <w:tcW w:w="3870" w:type="dxa"/>
          </w:tcPr>
          <w:p w14:paraId="342219D7" w14:textId="168E436B" w:rsidR="00063DA2" w:rsidRDefault="004D3AF9" w:rsidP="006E5D27">
            <w:pPr>
              <w:pStyle w:val="ListNumber"/>
            </w:pPr>
            <w:r>
              <w:t>Civil rights &amp; advocacy</w:t>
            </w:r>
          </w:p>
          <w:p w14:paraId="7DB661AC" w14:textId="60DE2E67" w:rsidR="00472C17" w:rsidRDefault="004D3AF9" w:rsidP="006E5D27">
            <w:pPr>
              <w:pStyle w:val="ListNumber"/>
            </w:pPr>
            <w:r>
              <w:t>Barrier removal</w:t>
            </w:r>
          </w:p>
          <w:p w14:paraId="0461E53E" w14:textId="77777777" w:rsidR="00472C17" w:rsidRDefault="00472C17" w:rsidP="006E5D27">
            <w:pPr>
              <w:pStyle w:val="ListNumber"/>
            </w:pPr>
            <w:r>
              <w:t>Self-help</w:t>
            </w:r>
          </w:p>
          <w:p w14:paraId="645799A9" w14:textId="5CC2C45C" w:rsidR="00472C17" w:rsidRDefault="00472C17" w:rsidP="006E5D27">
            <w:pPr>
              <w:pStyle w:val="ListNumber"/>
            </w:pPr>
            <w:r>
              <w:t>Peer role models</w:t>
            </w:r>
            <w:r w:rsidR="004D3AF9">
              <w:t>/peer support</w:t>
            </w:r>
          </w:p>
          <w:p w14:paraId="619C0ECA" w14:textId="0020667C" w:rsidR="00472C17" w:rsidRDefault="00472C17" w:rsidP="006E5D27">
            <w:pPr>
              <w:pStyle w:val="ListNumber"/>
            </w:pPr>
            <w:r>
              <w:t xml:space="preserve">Consumer control over options </w:t>
            </w:r>
            <w:r w:rsidR="004D3AF9">
              <w:t xml:space="preserve">&amp; </w:t>
            </w:r>
            <w:r>
              <w:t>services</w:t>
            </w:r>
          </w:p>
        </w:tc>
      </w:tr>
      <w:tr w:rsidR="00063DA2" w14:paraId="0451510E" w14:textId="77777777" w:rsidTr="00250D70">
        <w:trPr>
          <w:jc w:val="center"/>
        </w:trPr>
        <w:tc>
          <w:tcPr>
            <w:tcW w:w="2610" w:type="dxa"/>
          </w:tcPr>
          <w:p w14:paraId="686F042B" w14:textId="081A868D" w:rsidR="00063DA2" w:rsidRPr="00472C17" w:rsidRDefault="00063DA2" w:rsidP="00472C17">
            <w:pPr>
              <w:pStyle w:val="BodyText2"/>
              <w:rPr>
                <w:rStyle w:val="Strong"/>
              </w:rPr>
            </w:pPr>
            <w:r w:rsidRPr="00472C17">
              <w:rPr>
                <w:rStyle w:val="Strong"/>
              </w:rPr>
              <w:t>Social role</w:t>
            </w:r>
          </w:p>
        </w:tc>
        <w:tc>
          <w:tcPr>
            <w:tcW w:w="3330" w:type="dxa"/>
          </w:tcPr>
          <w:p w14:paraId="05FFDA83" w14:textId="2CB1E584" w:rsidR="00063DA2" w:rsidRDefault="00472C17" w:rsidP="006E5D27">
            <w:pPr>
              <w:pStyle w:val="BodyText2"/>
            </w:pPr>
            <w:r>
              <w:t>Individual with a disability is a “patient” or “client.”</w:t>
            </w:r>
          </w:p>
        </w:tc>
        <w:tc>
          <w:tcPr>
            <w:tcW w:w="3870" w:type="dxa"/>
          </w:tcPr>
          <w:p w14:paraId="436E94DA" w14:textId="5664AF04" w:rsidR="00063DA2" w:rsidRDefault="00472C17" w:rsidP="006E5D27">
            <w:pPr>
              <w:pStyle w:val="BodyText2"/>
            </w:pPr>
            <w:r>
              <w:t>Individual is a “consumer</w:t>
            </w:r>
            <w:r w:rsidR="004D3AF9">
              <w:t>,</w:t>
            </w:r>
            <w:r>
              <w:t xml:space="preserve">” </w:t>
            </w:r>
            <w:r w:rsidR="004D3AF9">
              <w:t xml:space="preserve">“customer” </w:t>
            </w:r>
            <w:r>
              <w:t>or “user” of services &amp; products.</w:t>
            </w:r>
          </w:p>
        </w:tc>
      </w:tr>
      <w:tr w:rsidR="004D3AF9" w14:paraId="19AC6265" w14:textId="77777777" w:rsidTr="00250D70">
        <w:trPr>
          <w:jc w:val="center"/>
        </w:trPr>
        <w:tc>
          <w:tcPr>
            <w:tcW w:w="2610" w:type="dxa"/>
          </w:tcPr>
          <w:p w14:paraId="0EB52460" w14:textId="33EDF43D" w:rsidR="004D3AF9" w:rsidRPr="00472C17" w:rsidRDefault="004D3AF9" w:rsidP="00472C17">
            <w:pPr>
              <w:pStyle w:val="BodyText2"/>
              <w:rPr>
                <w:rStyle w:val="Strong"/>
              </w:rPr>
            </w:pPr>
            <w:r>
              <w:rPr>
                <w:rStyle w:val="Strong"/>
              </w:rPr>
              <w:t>Who controls</w:t>
            </w:r>
          </w:p>
        </w:tc>
        <w:tc>
          <w:tcPr>
            <w:tcW w:w="3330" w:type="dxa"/>
          </w:tcPr>
          <w:p w14:paraId="56413B95" w14:textId="762E83C3" w:rsidR="004D3AF9" w:rsidRDefault="004D3AF9" w:rsidP="006E5D27">
            <w:pPr>
              <w:pStyle w:val="BodyText2"/>
            </w:pPr>
            <w:r>
              <w:t>Professional</w:t>
            </w:r>
          </w:p>
        </w:tc>
        <w:tc>
          <w:tcPr>
            <w:tcW w:w="3870" w:type="dxa"/>
          </w:tcPr>
          <w:p w14:paraId="1F97B2A0" w14:textId="7C6D7AD3" w:rsidR="004D3AF9" w:rsidRDefault="004D3AF9" w:rsidP="006E5D27">
            <w:pPr>
              <w:pStyle w:val="BodyText2"/>
            </w:pPr>
            <w:r>
              <w:t>Consumer or individual</w:t>
            </w:r>
          </w:p>
        </w:tc>
      </w:tr>
      <w:tr w:rsidR="00063DA2" w14:paraId="3A808EF1" w14:textId="77777777" w:rsidTr="00250D70">
        <w:trPr>
          <w:jc w:val="center"/>
        </w:trPr>
        <w:tc>
          <w:tcPr>
            <w:tcW w:w="2610" w:type="dxa"/>
          </w:tcPr>
          <w:p w14:paraId="19F8B43F" w14:textId="3A6FE8A6" w:rsidR="00063DA2" w:rsidRPr="00472C17" w:rsidRDefault="00063DA2" w:rsidP="00472C17">
            <w:pPr>
              <w:pStyle w:val="BodyText2"/>
              <w:rPr>
                <w:rStyle w:val="Strong"/>
              </w:rPr>
            </w:pPr>
            <w:r w:rsidRPr="00472C17">
              <w:rPr>
                <w:rStyle w:val="Strong"/>
              </w:rPr>
              <w:t>Desired outcomes</w:t>
            </w:r>
          </w:p>
        </w:tc>
        <w:tc>
          <w:tcPr>
            <w:tcW w:w="3330" w:type="dxa"/>
          </w:tcPr>
          <w:p w14:paraId="7527A67B" w14:textId="4C4562F4" w:rsidR="00063DA2" w:rsidRDefault="00472C17" w:rsidP="006E5D27">
            <w:pPr>
              <w:pStyle w:val="BodyText2"/>
            </w:pPr>
            <w:r>
              <w:t xml:space="preserve">Maximum self-care </w:t>
            </w:r>
            <w:r w:rsidR="004D3AF9">
              <w:t>(</w:t>
            </w:r>
            <w:r>
              <w:t>or “ADL</w:t>
            </w:r>
            <w:r w:rsidR="006E5D27">
              <w:t>”</w:t>
            </w:r>
            <w:r w:rsidR="00662167">
              <w:t>)</w:t>
            </w:r>
            <w:r w:rsidR="006E5D27">
              <w:t>; gainful employment in the VR system</w:t>
            </w:r>
          </w:p>
        </w:tc>
        <w:tc>
          <w:tcPr>
            <w:tcW w:w="3870" w:type="dxa"/>
          </w:tcPr>
          <w:p w14:paraId="0D2AB579" w14:textId="1CF2169D" w:rsidR="00063DA2" w:rsidRDefault="006E5D27" w:rsidP="006E5D27">
            <w:pPr>
              <w:pStyle w:val="BodyText2"/>
            </w:pPr>
            <w:r>
              <w:t>Independence through control over acceptable options for everyday living in an integrated community.</w:t>
            </w:r>
          </w:p>
        </w:tc>
      </w:tr>
    </w:tbl>
    <w:p w14:paraId="2CEA5852" w14:textId="77777777" w:rsidR="007779DE" w:rsidRDefault="007779DE" w:rsidP="004D3AF9">
      <w:pPr>
        <w:pStyle w:val="BodyText"/>
      </w:pPr>
    </w:p>
    <w:sectPr w:rsidR="007779DE" w:rsidSect="00D059E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C585" w14:textId="77777777" w:rsidR="00A22D0C" w:rsidRDefault="00A22D0C" w:rsidP="00E76374">
      <w:pPr>
        <w:spacing w:after="0" w:line="240" w:lineRule="auto"/>
      </w:pPr>
      <w:r>
        <w:separator/>
      </w:r>
    </w:p>
  </w:endnote>
  <w:endnote w:type="continuationSeparator" w:id="0">
    <w:p w14:paraId="630B89AC" w14:textId="77777777" w:rsidR="00A22D0C" w:rsidRDefault="00A22D0C" w:rsidP="00E7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5ADA" w14:textId="432D5711" w:rsidR="00852AA4" w:rsidRDefault="00E76374" w:rsidP="00852AA4">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B1ED190" wp14:editId="085A38D7">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6C7971"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984503">
      <w:t xml:space="preserve">© 2023 by The National Council on Independent Living (NCIL). </w:t>
    </w:r>
    <w:r w:rsidR="00852AA4">
      <w:t xml:space="preserve">This series of Briefs is a publication of </w:t>
    </w:r>
    <w:r w:rsidR="00984503">
      <w:t xml:space="preserve">NCIL </w:t>
    </w:r>
    <w:r w:rsidR="00852AA4">
      <w:t xml:space="preserve">and The National Resources for Access, Independence, </w:t>
    </w:r>
    <w:proofErr w:type="gramStart"/>
    <w:r w:rsidR="00852AA4">
      <w:t>Self-determination</w:t>
    </w:r>
    <w:proofErr w:type="gramEnd"/>
    <w:r w:rsidR="00852AA4">
      <w:t xml:space="preserve"> and Employment (RAISE) Technical Assistance Center, a project of the SPAN Parent Advocacy Network.</w:t>
    </w:r>
  </w:p>
  <w:p w14:paraId="5A850A07" w14:textId="33613C95" w:rsidR="00E76374" w:rsidRDefault="00E7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8DA7" w14:textId="77777777" w:rsidR="00A22D0C" w:rsidRDefault="00A22D0C" w:rsidP="00E76374">
      <w:pPr>
        <w:spacing w:after="0" w:line="240" w:lineRule="auto"/>
      </w:pPr>
      <w:r>
        <w:separator/>
      </w:r>
    </w:p>
  </w:footnote>
  <w:footnote w:type="continuationSeparator" w:id="0">
    <w:p w14:paraId="416926DF" w14:textId="77777777" w:rsidR="00A22D0C" w:rsidRDefault="00A22D0C" w:rsidP="00E76374">
      <w:pPr>
        <w:spacing w:after="0" w:line="240" w:lineRule="auto"/>
      </w:pPr>
      <w:r>
        <w:continuationSeparator/>
      </w:r>
    </w:p>
  </w:footnote>
  <w:footnote w:id="1">
    <w:p w14:paraId="57A56463" w14:textId="4760B2E5" w:rsidR="004D3AF9" w:rsidRDefault="004D3AF9">
      <w:pPr>
        <w:pStyle w:val="FootnoteText"/>
      </w:pPr>
      <w:r>
        <w:rPr>
          <w:rStyle w:val="FootnoteReference"/>
        </w:rPr>
        <w:footnoteRef/>
      </w:r>
      <w:r>
        <w:t xml:space="preserve"> </w:t>
      </w:r>
      <w:hyperlink r:id="rId1" w:history="1">
        <w:r w:rsidR="008F25E8" w:rsidRPr="00936279">
          <w:rPr>
            <w:rStyle w:val="Hyperlink"/>
          </w:rPr>
          <w:t>https://Pubmed.ncbi.nlm.nih.gov/496597</w:t>
        </w:r>
      </w:hyperlink>
      <w:r w:rsidR="008F25E8">
        <w:t xml:space="preserve"> and </w:t>
      </w:r>
      <w:r w:rsidR="00B53129">
        <w:t xml:space="preserve"> </w:t>
      </w:r>
      <w:hyperlink r:id="rId2" w:history="1">
        <w:r w:rsidR="00B53129" w:rsidRPr="00936279">
          <w:rPr>
            <w:rStyle w:val="Hyperlink"/>
          </w:rPr>
          <w:t>www.jik.com/ilcpara.html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1CC6336"/>
    <w:lvl w:ilvl="0">
      <w:start w:val="1"/>
      <w:numFmt w:val="decimal"/>
      <w:pStyle w:val="ListNumber"/>
      <w:lvlText w:val="%1."/>
      <w:lvlJc w:val="left"/>
      <w:pPr>
        <w:tabs>
          <w:tab w:val="num" w:pos="360"/>
        </w:tabs>
        <w:ind w:left="360" w:hanging="360"/>
      </w:pPr>
    </w:lvl>
  </w:abstractNum>
  <w:abstractNum w:abstractNumId="1" w15:restartNumberingAfterBreak="0">
    <w:nsid w:val="424628F1"/>
    <w:multiLevelType w:val="hybridMultilevel"/>
    <w:tmpl w:val="B49A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896315">
    <w:abstractNumId w:val="1"/>
  </w:num>
  <w:num w:numId="2" w16cid:durableId="1077477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CA"/>
    <w:rsid w:val="00063DA2"/>
    <w:rsid w:val="00065ACA"/>
    <w:rsid w:val="000B5C5F"/>
    <w:rsid w:val="000E7170"/>
    <w:rsid w:val="00111F43"/>
    <w:rsid w:val="001601B9"/>
    <w:rsid w:val="001829F9"/>
    <w:rsid w:val="0020544A"/>
    <w:rsid w:val="0021628A"/>
    <w:rsid w:val="0022535D"/>
    <w:rsid w:val="00250D70"/>
    <w:rsid w:val="0027336B"/>
    <w:rsid w:val="002826A2"/>
    <w:rsid w:val="002F3197"/>
    <w:rsid w:val="002F38D6"/>
    <w:rsid w:val="002F73DB"/>
    <w:rsid w:val="0030360E"/>
    <w:rsid w:val="00304852"/>
    <w:rsid w:val="00323380"/>
    <w:rsid w:val="00340049"/>
    <w:rsid w:val="0036686A"/>
    <w:rsid w:val="003A05CE"/>
    <w:rsid w:val="003C382F"/>
    <w:rsid w:val="003E1D0E"/>
    <w:rsid w:val="00431AB9"/>
    <w:rsid w:val="004435D7"/>
    <w:rsid w:val="00472C17"/>
    <w:rsid w:val="00472C4E"/>
    <w:rsid w:val="004D3AF9"/>
    <w:rsid w:val="004D638E"/>
    <w:rsid w:val="00532269"/>
    <w:rsid w:val="00552835"/>
    <w:rsid w:val="00574339"/>
    <w:rsid w:val="005813B8"/>
    <w:rsid w:val="00583D16"/>
    <w:rsid w:val="00620E41"/>
    <w:rsid w:val="00660655"/>
    <w:rsid w:val="00662167"/>
    <w:rsid w:val="006D0975"/>
    <w:rsid w:val="006E0920"/>
    <w:rsid w:val="006E5D27"/>
    <w:rsid w:val="00700A92"/>
    <w:rsid w:val="00734EF6"/>
    <w:rsid w:val="00753595"/>
    <w:rsid w:val="007779DE"/>
    <w:rsid w:val="00791BD7"/>
    <w:rsid w:val="007A5720"/>
    <w:rsid w:val="007C2BB6"/>
    <w:rsid w:val="008144C9"/>
    <w:rsid w:val="00852AA4"/>
    <w:rsid w:val="008F25E8"/>
    <w:rsid w:val="00954F43"/>
    <w:rsid w:val="00984503"/>
    <w:rsid w:val="00A114EA"/>
    <w:rsid w:val="00A22D0C"/>
    <w:rsid w:val="00A75B17"/>
    <w:rsid w:val="00AC2FBA"/>
    <w:rsid w:val="00B22DE1"/>
    <w:rsid w:val="00B53129"/>
    <w:rsid w:val="00B65A56"/>
    <w:rsid w:val="00C02EBA"/>
    <w:rsid w:val="00CE7E45"/>
    <w:rsid w:val="00CF75A1"/>
    <w:rsid w:val="00D059E9"/>
    <w:rsid w:val="00D43DED"/>
    <w:rsid w:val="00D7104D"/>
    <w:rsid w:val="00E76374"/>
    <w:rsid w:val="00E76F03"/>
    <w:rsid w:val="00E942C0"/>
    <w:rsid w:val="00EF3469"/>
    <w:rsid w:val="00F301D4"/>
    <w:rsid w:val="00F332DE"/>
    <w:rsid w:val="00F85999"/>
    <w:rsid w:val="00FB503B"/>
    <w:rsid w:val="00FF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6484"/>
  <w15:chartTrackingRefBased/>
  <w15:docId w15:val="{3C6C22FC-CB48-4094-B187-7318E561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17"/>
  </w:style>
  <w:style w:type="paragraph" w:styleId="Heading1">
    <w:name w:val="heading 1"/>
    <w:next w:val="BodyText"/>
    <w:link w:val="Heading1Char"/>
    <w:uiPriority w:val="9"/>
    <w:qFormat/>
    <w:rsid w:val="00250D70"/>
    <w:pPr>
      <w:keepNext/>
      <w:keepLines/>
      <w:spacing w:before="240" w:after="120"/>
      <w:jc w:val="center"/>
      <w:outlineLvl w:val="0"/>
    </w:pPr>
    <w:rPr>
      <w:rFonts w:ascii="Times New Roman" w:eastAsiaTheme="majorEastAsia" w:hAnsi="Times New Roman" w:cstheme="majorBidi"/>
      <w:b/>
      <w:color w:val="000000" w:themeColor="text1"/>
      <w:sz w:val="28"/>
      <w:szCs w:val="32"/>
    </w:rPr>
  </w:style>
  <w:style w:type="paragraph" w:styleId="Heading2">
    <w:name w:val="heading 2"/>
    <w:next w:val="BodyText"/>
    <w:link w:val="Heading2Char"/>
    <w:uiPriority w:val="9"/>
    <w:unhideWhenUsed/>
    <w:qFormat/>
    <w:rsid w:val="00250D70"/>
    <w:pPr>
      <w:keepNext/>
      <w:keepLines/>
      <w:spacing w:after="360"/>
      <w:jc w:val="center"/>
      <w:outlineLvl w:val="1"/>
    </w:pPr>
    <w:rPr>
      <w:rFonts w:ascii="Times New Roman" w:eastAsiaTheme="majorEastAsia" w:hAnsi="Times New Roman" w:cstheme="majorBidi"/>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D70"/>
    <w:rPr>
      <w:rFonts w:ascii="Times New Roman" w:eastAsiaTheme="majorEastAsia" w:hAnsi="Times New Roman" w:cstheme="majorBidi"/>
      <w:b/>
      <w:color w:val="000000" w:themeColor="text1"/>
      <w:sz w:val="28"/>
      <w:szCs w:val="32"/>
    </w:rPr>
  </w:style>
  <w:style w:type="paragraph" w:customStyle="1" w:styleId="menu-item">
    <w:name w:val="menu-item"/>
    <w:basedOn w:val="Normal"/>
    <w:rsid w:val="00E763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link w:val="BodyTextChar"/>
    <w:uiPriority w:val="99"/>
    <w:unhideWhenUsed/>
    <w:rsid w:val="00250D70"/>
    <w:pPr>
      <w:spacing w:after="120"/>
      <w:ind w:left="576" w:right="576"/>
    </w:pPr>
    <w:rPr>
      <w:rFonts w:ascii="Times New Roman" w:hAnsi="Times New Roman"/>
      <w:sz w:val="24"/>
    </w:rPr>
  </w:style>
  <w:style w:type="character" w:customStyle="1" w:styleId="BodyTextChar">
    <w:name w:val="Body Text Char"/>
    <w:basedOn w:val="DefaultParagraphFont"/>
    <w:link w:val="BodyText"/>
    <w:uiPriority w:val="99"/>
    <w:rsid w:val="00250D70"/>
    <w:rPr>
      <w:rFonts w:ascii="Times New Roman" w:hAnsi="Times New Roman"/>
      <w:sz w:val="24"/>
    </w:rPr>
  </w:style>
  <w:style w:type="character" w:customStyle="1" w:styleId="Heading2Char">
    <w:name w:val="Heading 2 Char"/>
    <w:basedOn w:val="DefaultParagraphFont"/>
    <w:link w:val="Heading2"/>
    <w:uiPriority w:val="9"/>
    <w:rsid w:val="00250D70"/>
    <w:rPr>
      <w:rFonts w:ascii="Times New Roman" w:eastAsiaTheme="majorEastAsia" w:hAnsi="Times New Roman" w:cstheme="majorBidi"/>
      <w:b/>
      <w:i/>
      <w:color w:val="000000" w:themeColor="text1"/>
      <w:sz w:val="26"/>
      <w:szCs w:val="26"/>
    </w:rPr>
  </w:style>
  <w:style w:type="paragraph" w:styleId="Header">
    <w:name w:val="header"/>
    <w:basedOn w:val="Normal"/>
    <w:link w:val="HeaderChar"/>
    <w:uiPriority w:val="99"/>
    <w:unhideWhenUsed/>
    <w:rsid w:val="00E76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74"/>
  </w:style>
  <w:style w:type="paragraph" w:styleId="Footer">
    <w:name w:val="footer"/>
    <w:link w:val="FooterChar"/>
    <w:uiPriority w:val="99"/>
    <w:unhideWhenUsed/>
    <w:rsid w:val="00852AA4"/>
    <w:pPr>
      <w:tabs>
        <w:tab w:val="center" w:pos="4680"/>
        <w:tab w:val="right" w:pos="9360"/>
      </w:tabs>
      <w:spacing w:after="0" w:line="240" w:lineRule="auto"/>
    </w:pPr>
    <w:rPr>
      <w:rFonts w:ascii="Arial" w:hAnsi="Arial"/>
      <w:i/>
      <w:sz w:val="20"/>
    </w:rPr>
  </w:style>
  <w:style w:type="character" w:customStyle="1" w:styleId="FooterChar">
    <w:name w:val="Footer Char"/>
    <w:basedOn w:val="DefaultParagraphFont"/>
    <w:link w:val="Footer"/>
    <w:uiPriority w:val="99"/>
    <w:rsid w:val="00852AA4"/>
    <w:rPr>
      <w:rFonts w:ascii="Arial" w:hAnsi="Arial"/>
      <w:i/>
      <w:sz w:val="20"/>
    </w:rPr>
  </w:style>
  <w:style w:type="paragraph" w:styleId="BlockText">
    <w:name w:val="Block Text"/>
    <w:uiPriority w:val="99"/>
    <w:unhideWhenUsed/>
    <w:rsid w:val="0036686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imes New Roman" w:eastAsiaTheme="minorEastAsia" w:hAnsi="Times New Roman"/>
      <w:i/>
      <w:iCs/>
      <w:color w:val="000000" w:themeColor="text1"/>
      <w:sz w:val="24"/>
    </w:rPr>
  </w:style>
  <w:style w:type="character" w:styleId="Hyperlink">
    <w:name w:val="Hyperlink"/>
    <w:basedOn w:val="DefaultParagraphFont"/>
    <w:uiPriority w:val="99"/>
    <w:unhideWhenUsed/>
    <w:rsid w:val="00304852"/>
    <w:rPr>
      <w:color w:val="0000FF"/>
      <w:u w:val="single"/>
    </w:rPr>
  </w:style>
  <w:style w:type="character" w:styleId="Strong">
    <w:name w:val="Strong"/>
    <w:basedOn w:val="DefaultParagraphFont"/>
    <w:uiPriority w:val="22"/>
    <w:qFormat/>
    <w:rsid w:val="00304852"/>
    <w:rPr>
      <w:b/>
      <w:bCs/>
    </w:rPr>
  </w:style>
  <w:style w:type="paragraph" w:styleId="NormalWeb">
    <w:name w:val="Normal (Web)"/>
    <w:basedOn w:val="Normal"/>
    <w:uiPriority w:val="99"/>
    <w:semiHidden/>
    <w:unhideWhenUsed/>
    <w:rsid w:val="002054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20544A"/>
  </w:style>
  <w:style w:type="paragraph" w:customStyle="1" w:styleId="font3">
    <w:name w:val="font_3"/>
    <w:basedOn w:val="Normal"/>
    <w:rsid w:val="002054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lor24">
    <w:name w:val="color_24"/>
    <w:basedOn w:val="DefaultParagraphFont"/>
    <w:rsid w:val="0020544A"/>
  </w:style>
  <w:style w:type="paragraph" w:customStyle="1" w:styleId="font8">
    <w:name w:val="font_8"/>
    <w:basedOn w:val="Normal"/>
    <w:rsid w:val="002054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063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472C17"/>
    <w:pPr>
      <w:ind w:left="360" w:hanging="360"/>
      <w:contextualSpacing/>
    </w:pPr>
  </w:style>
  <w:style w:type="paragraph" w:styleId="ListNumber">
    <w:name w:val="List Number"/>
    <w:uiPriority w:val="99"/>
    <w:unhideWhenUsed/>
    <w:rsid w:val="0022535D"/>
    <w:pPr>
      <w:numPr>
        <w:numId w:val="2"/>
      </w:numPr>
      <w:spacing w:after="0" w:line="240" w:lineRule="auto"/>
      <w:ind w:left="288" w:hanging="288"/>
      <w:contextualSpacing/>
    </w:pPr>
    <w:rPr>
      <w:rFonts w:ascii="Times New Roman" w:hAnsi="Times New Roman"/>
    </w:rPr>
  </w:style>
  <w:style w:type="paragraph" w:styleId="BodyText2">
    <w:name w:val="Body Text 2"/>
    <w:link w:val="BodyText2Char"/>
    <w:uiPriority w:val="99"/>
    <w:unhideWhenUsed/>
    <w:rsid w:val="006E5D27"/>
    <w:pPr>
      <w:spacing w:after="120" w:line="240" w:lineRule="auto"/>
      <w:contextualSpacing/>
    </w:pPr>
    <w:rPr>
      <w:rFonts w:ascii="Times New Roman" w:hAnsi="Times New Roman"/>
    </w:rPr>
  </w:style>
  <w:style w:type="character" w:customStyle="1" w:styleId="BodyText2Char">
    <w:name w:val="Body Text 2 Char"/>
    <w:basedOn w:val="DefaultParagraphFont"/>
    <w:link w:val="BodyText2"/>
    <w:uiPriority w:val="99"/>
    <w:rsid w:val="006E5D27"/>
    <w:rPr>
      <w:rFonts w:ascii="Times New Roman" w:hAnsi="Times New Roman"/>
    </w:rPr>
  </w:style>
  <w:style w:type="paragraph" w:styleId="FootnoteText">
    <w:name w:val="footnote text"/>
    <w:basedOn w:val="Normal"/>
    <w:link w:val="FootnoteTextChar"/>
    <w:uiPriority w:val="99"/>
    <w:semiHidden/>
    <w:unhideWhenUsed/>
    <w:rsid w:val="004D3A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AF9"/>
    <w:rPr>
      <w:sz w:val="20"/>
      <w:szCs w:val="20"/>
    </w:rPr>
  </w:style>
  <w:style w:type="character" w:styleId="FootnoteReference">
    <w:name w:val="footnote reference"/>
    <w:basedOn w:val="DefaultParagraphFont"/>
    <w:uiPriority w:val="99"/>
    <w:semiHidden/>
    <w:unhideWhenUsed/>
    <w:rsid w:val="004D3AF9"/>
    <w:rPr>
      <w:vertAlign w:val="superscript"/>
    </w:rPr>
  </w:style>
  <w:style w:type="character" w:styleId="UnresolvedMention">
    <w:name w:val="Unresolved Mention"/>
    <w:basedOn w:val="DefaultParagraphFont"/>
    <w:uiPriority w:val="99"/>
    <w:semiHidden/>
    <w:unhideWhenUsed/>
    <w:rsid w:val="004D3AF9"/>
    <w:rPr>
      <w:color w:val="605E5C"/>
      <w:shd w:val="clear" w:color="auto" w:fill="E1DFDD"/>
    </w:rPr>
  </w:style>
  <w:style w:type="paragraph" w:customStyle="1" w:styleId="commentcontentpara">
    <w:name w:val="commentcontentpara"/>
    <w:basedOn w:val="Normal"/>
    <w:rsid w:val="002826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09575">
      <w:bodyDiv w:val="1"/>
      <w:marLeft w:val="0"/>
      <w:marRight w:val="0"/>
      <w:marTop w:val="0"/>
      <w:marBottom w:val="0"/>
      <w:divBdr>
        <w:top w:val="none" w:sz="0" w:space="0" w:color="auto"/>
        <w:left w:val="none" w:sz="0" w:space="0" w:color="auto"/>
        <w:bottom w:val="none" w:sz="0" w:space="0" w:color="auto"/>
        <w:right w:val="none" w:sz="0" w:space="0" w:color="auto"/>
      </w:divBdr>
    </w:div>
    <w:div w:id="1036538393">
      <w:bodyDiv w:val="1"/>
      <w:marLeft w:val="0"/>
      <w:marRight w:val="0"/>
      <w:marTop w:val="0"/>
      <w:marBottom w:val="0"/>
      <w:divBdr>
        <w:top w:val="none" w:sz="0" w:space="0" w:color="auto"/>
        <w:left w:val="none" w:sz="0" w:space="0" w:color="auto"/>
        <w:bottom w:val="none" w:sz="0" w:space="0" w:color="auto"/>
        <w:right w:val="none" w:sz="0" w:space="0" w:color="auto"/>
      </w:divBdr>
      <w:divsChild>
        <w:div w:id="1991057542">
          <w:marLeft w:val="0"/>
          <w:marRight w:val="0"/>
          <w:marTop w:val="0"/>
          <w:marBottom w:val="0"/>
          <w:divBdr>
            <w:top w:val="none" w:sz="0" w:space="0" w:color="auto"/>
            <w:left w:val="none" w:sz="0" w:space="0" w:color="auto"/>
            <w:bottom w:val="none" w:sz="0" w:space="0" w:color="auto"/>
            <w:right w:val="none" w:sz="0" w:space="0" w:color="auto"/>
          </w:divBdr>
        </w:div>
      </w:divsChild>
    </w:div>
    <w:div w:id="1197545870">
      <w:bodyDiv w:val="1"/>
      <w:marLeft w:val="0"/>
      <w:marRight w:val="0"/>
      <w:marTop w:val="0"/>
      <w:marBottom w:val="0"/>
      <w:divBdr>
        <w:top w:val="none" w:sz="0" w:space="0" w:color="auto"/>
        <w:left w:val="none" w:sz="0" w:space="0" w:color="auto"/>
        <w:bottom w:val="none" w:sz="0" w:space="0" w:color="auto"/>
        <w:right w:val="none" w:sz="0" w:space="0" w:color="auto"/>
      </w:divBdr>
    </w:div>
    <w:div w:id="1406803785">
      <w:bodyDiv w:val="1"/>
      <w:marLeft w:val="0"/>
      <w:marRight w:val="0"/>
      <w:marTop w:val="0"/>
      <w:marBottom w:val="0"/>
      <w:divBdr>
        <w:top w:val="none" w:sz="0" w:space="0" w:color="auto"/>
        <w:left w:val="none" w:sz="0" w:space="0" w:color="auto"/>
        <w:bottom w:val="none" w:sz="0" w:space="0" w:color="auto"/>
        <w:right w:val="none" w:sz="0" w:space="0" w:color="auto"/>
      </w:divBdr>
      <w:divsChild>
        <w:div w:id="274752171">
          <w:marLeft w:val="0"/>
          <w:marRight w:val="0"/>
          <w:marTop w:val="0"/>
          <w:marBottom w:val="0"/>
          <w:divBdr>
            <w:top w:val="none" w:sz="0" w:space="0" w:color="auto"/>
            <w:left w:val="none" w:sz="0" w:space="0" w:color="auto"/>
            <w:bottom w:val="none" w:sz="0" w:space="0" w:color="auto"/>
            <w:right w:val="none" w:sz="0" w:space="0" w:color="auto"/>
          </w:divBdr>
        </w:div>
        <w:div w:id="1312516913">
          <w:marLeft w:val="0"/>
          <w:marRight w:val="0"/>
          <w:marTop w:val="0"/>
          <w:marBottom w:val="0"/>
          <w:divBdr>
            <w:top w:val="none" w:sz="0" w:space="0" w:color="auto"/>
            <w:left w:val="none" w:sz="0" w:space="0" w:color="auto"/>
            <w:bottom w:val="none" w:sz="0" w:space="0" w:color="auto"/>
            <w:right w:val="none" w:sz="0" w:space="0" w:color="auto"/>
          </w:divBdr>
          <w:divsChild>
            <w:div w:id="581259819">
              <w:marLeft w:val="0"/>
              <w:marRight w:val="0"/>
              <w:marTop w:val="0"/>
              <w:marBottom w:val="0"/>
              <w:divBdr>
                <w:top w:val="none" w:sz="0" w:space="0" w:color="auto"/>
                <w:left w:val="none" w:sz="0" w:space="0" w:color="auto"/>
                <w:bottom w:val="none" w:sz="0" w:space="0" w:color="auto"/>
                <w:right w:val="none" w:sz="0" w:space="0" w:color="auto"/>
              </w:divBdr>
              <w:divsChild>
                <w:div w:id="2087875654">
                  <w:marLeft w:val="0"/>
                  <w:marRight w:val="0"/>
                  <w:marTop w:val="0"/>
                  <w:marBottom w:val="0"/>
                  <w:divBdr>
                    <w:top w:val="none" w:sz="0" w:space="0" w:color="auto"/>
                    <w:left w:val="none" w:sz="0" w:space="0" w:color="auto"/>
                    <w:bottom w:val="none" w:sz="0" w:space="0" w:color="auto"/>
                    <w:right w:val="none" w:sz="0" w:space="0" w:color="auto"/>
                  </w:divBdr>
                  <w:divsChild>
                    <w:div w:id="1578980278">
                      <w:marLeft w:val="0"/>
                      <w:marRight w:val="0"/>
                      <w:marTop w:val="0"/>
                      <w:marBottom w:val="0"/>
                      <w:divBdr>
                        <w:top w:val="none" w:sz="0" w:space="0" w:color="auto"/>
                        <w:left w:val="none" w:sz="0" w:space="0" w:color="auto"/>
                        <w:bottom w:val="none" w:sz="0" w:space="0" w:color="auto"/>
                        <w:right w:val="none" w:sz="0" w:space="0" w:color="auto"/>
                      </w:divBdr>
                    </w:div>
                  </w:divsChild>
                </w:div>
                <w:div w:id="1055814921">
                  <w:marLeft w:val="0"/>
                  <w:marRight w:val="0"/>
                  <w:marTop w:val="0"/>
                  <w:marBottom w:val="0"/>
                  <w:divBdr>
                    <w:top w:val="none" w:sz="0" w:space="0" w:color="auto"/>
                    <w:left w:val="none" w:sz="0" w:space="0" w:color="auto"/>
                    <w:bottom w:val="none" w:sz="0" w:space="0" w:color="auto"/>
                    <w:right w:val="none" w:sz="0" w:space="0" w:color="auto"/>
                  </w:divBdr>
                </w:div>
                <w:div w:id="172114246">
                  <w:marLeft w:val="0"/>
                  <w:marRight w:val="0"/>
                  <w:marTop w:val="0"/>
                  <w:marBottom w:val="0"/>
                  <w:divBdr>
                    <w:top w:val="none" w:sz="0" w:space="0" w:color="auto"/>
                    <w:left w:val="none" w:sz="0" w:space="0" w:color="auto"/>
                    <w:bottom w:val="none" w:sz="0" w:space="0" w:color="auto"/>
                    <w:right w:val="none" w:sz="0" w:space="0" w:color="auto"/>
                  </w:divBdr>
                </w:div>
                <w:div w:id="8668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jik.com/ilcpara.html" TargetMode="External"/><Relationship Id="rId1" Type="http://schemas.openxmlformats.org/officeDocument/2006/relationships/hyperlink" Target="https://Pubmed.ncbi.nlm.nih.gov/496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5630B-D33D-43A3-A358-C13BEA06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Jones</dc:creator>
  <cp:keywords/>
  <dc:description/>
  <cp:lastModifiedBy>Darrell</cp:lastModifiedBy>
  <cp:revision>3</cp:revision>
  <dcterms:created xsi:type="dcterms:W3CDTF">2023-08-23T13:07:00Z</dcterms:created>
  <dcterms:modified xsi:type="dcterms:W3CDTF">2023-08-23T13:10:00Z</dcterms:modified>
</cp:coreProperties>
</file>